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09A3D">
      <w:pPr>
        <w:pStyle w:val="6"/>
        <w:spacing w:line="380" w:lineRule="exact"/>
        <w:ind w:firstLine="0" w:firstLineChars="0"/>
        <w:rPr>
          <w:rFonts w:hint="eastAsia" w:ascii="宋体" w:hAnsi="宋体"/>
          <w:b/>
          <w:bCs/>
          <w:sz w:val="24"/>
          <w:lang w:val="en-US" w:eastAsia="zh-CN"/>
        </w:rPr>
      </w:pPr>
      <w:bookmarkStart w:id="0" w:name="_GoBack"/>
      <w:bookmarkEnd w:id="0"/>
      <w:r>
        <w:rPr>
          <w:rFonts w:hint="eastAsia" w:ascii="方正仿宋_GBK" w:hAnsi="方正仿宋_GBK" w:eastAsia="方正仿宋_GBK" w:cs="方正仿宋_GBK"/>
          <w:b w:val="0"/>
          <w:bCs w:val="0"/>
          <w:sz w:val="28"/>
          <w:szCs w:val="28"/>
          <w:lang w:eastAsia="zh-CN"/>
        </w:rPr>
        <w:t>附件</w:t>
      </w:r>
      <w:r>
        <w:rPr>
          <w:rFonts w:hint="eastAsia" w:ascii="方正仿宋_GBK" w:hAnsi="方正仿宋_GBK" w:eastAsia="方正仿宋_GBK" w:cs="方正仿宋_GBK"/>
          <w:b w:val="0"/>
          <w:bCs w:val="0"/>
          <w:sz w:val="28"/>
          <w:szCs w:val="28"/>
          <w:lang w:val="en-US" w:eastAsia="zh-CN"/>
        </w:rPr>
        <w:t>2</w:t>
      </w:r>
      <w:r>
        <w:rPr>
          <w:rFonts w:hint="eastAsia" w:ascii="宋体" w:hAnsi="宋体"/>
          <w:b/>
          <w:bCs/>
          <w:sz w:val="28"/>
          <w:szCs w:val="28"/>
          <w:lang w:val="en-US" w:eastAsia="zh-CN"/>
        </w:rPr>
        <w:t xml:space="preserve"> </w:t>
      </w:r>
      <w:r>
        <w:rPr>
          <w:rFonts w:hint="eastAsia" w:ascii="宋体" w:hAnsi="宋体"/>
          <w:b/>
          <w:bCs/>
          <w:sz w:val="24"/>
          <w:lang w:val="en-US" w:eastAsia="zh-CN"/>
        </w:rPr>
        <w:t xml:space="preserve">     </w:t>
      </w:r>
    </w:p>
    <w:p w14:paraId="7C9F6150">
      <w:pPr>
        <w:pStyle w:val="6"/>
        <w:spacing w:line="380" w:lineRule="exact"/>
        <w:ind w:left="0" w:leftChars="0" w:firstLine="0" w:firstLineChars="0"/>
        <w:jc w:val="center"/>
        <w:rPr>
          <w:rFonts w:ascii="宋体" w:hAnsi="宋体"/>
          <w:b/>
          <w:bCs/>
          <w:sz w:val="28"/>
          <w:szCs w:val="28"/>
        </w:rPr>
      </w:pPr>
      <w:r>
        <w:rPr>
          <w:rFonts w:hint="eastAsia" w:ascii="宋体" w:hAnsi="宋体"/>
          <w:b/>
          <w:bCs/>
          <w:sz w:val="28"/>
          <w:szCs w:val="28"/>
        </w:rPr>
        <w:t>评分方法</w:t>
      </w:r>
    </w:p>
    <w:p w14:paraId="73A835EC">
      <w:pPr>
        <w:spacing w:line="160" w:lineRule="exact"/>
        <w:rPr>
          <w:rFonts w:ascii="宋体" w:hAnsi="宋体"/>
          <w:sz w:val="16"/>
          <w:szCs w:val="16"/>
        </w:rPr>
      </w:pPr>
    </w:p>
    <w:p w14:paraId="3A9BACC0">
      <w:pPr>
        <w:pStyle w:val="6"/>
        <w:spacing w:line="380" w:lineRule="exact"/>
        <w:ind w:right="-145" w:rightChars="-69" w:firstLine="240"/>
        <w:rPr>
          <w:rFonts w:ascii="宋体" w:hAnsi="宋体"/>
          <w:sz w:val="24"/>
          <w:highlight w:val="yellow"/>
        </w:rPr>
      </w:pPr>
      <w:r>
        <w:rPr>
          <w:rFonts w:hint="eastAsia" w:ascii="宋体" w:hAnsi="宋体"/>
          <w:sz w:val="24"/>
          <w:highlight w:val="none"/>
        </w:rPr>
        <w:t>一、本项目采用综合评分法进行评标。评</w:t>
      </w:r>
      <w:r>
        <w:rPr>
          <w:rFonts w:hint="eastAsia" w:ascii="宋体" w:hAnsi="宋体"/>
          <w:sz w:val="24"/>
          <w:highlight w:val="none"/>
          <w:lang w:eastAsia="zh-CN"/>
        </w:rPr>
        <w:t>委</w:t>
      </w:r>
      <w:r>
        <w:rPr>
          <w:rFonts w:hint="eastAsia" w:ascii="宋体" w:hAnsi="宋体"/>
          <w:sz w:val="24"/>
          <w:highlight w:val="none"/>
        </w:rPr>
        <w:t>按照确定的评</w:t>
      </w:r>
      <w:r>
        <w:rPr>
          <w:rFonts w:hint="eastAsia" w:ascii="宋体" w:hAnsi="宋体"/>
          <w:sz w:val="24"/>
          <w:highlight w:val="none"/>
          <w:lang w:eastAsia="zh-CN"/>
        </w:rPr>
        <w:t>审</w:t>
      </w:r>
      <w:r>
        <w:rPr>
          <w:rFonts w:hint="eastAsia" w:ascii="宋体" w:hAnsi="宋体"/>
          <w:sz w:val="24"/>
          <w:highlight w:val="none"/>
        </w:rPr>
        <w:t>标准和方法对投标文件进行评审和比较，对投标文件进行技术、商务、价格打分，计算出所有投标人的综合得分。采购人按照综合得分排序确定中标供应商。</w:t>
      </w:r>
    </w:p>
    <w:p w14:paraId="6BED8BD6">
      <w:pPr>
        <w:pStyle w:val="6"/>
        <w:spacing w:line="380" w:lineRule="exact"/>
        <w:ind w:right="-512" w:rightChars="-244" w:firstLine="240"/>
        <w:rPr>
          <w:rFonts w:ascii="宋体" w:hAnsi="宋体"/>
          <w:sz w:val="24"/>
          <w:highlight w:val="none"/>
        </w:rPr>
      </w:pPr>
      <w:r>
        <w:rPr>
          <w:rFonts w:hint="eastAsia" w:ascii="宋体" w:hAnsi="宋体"/>
          <w:sz w:val="24"/>
          <w:highlight w:val="none"/>
        </w:rPr>
        <w:t>二、评分权重及评标因素如下：</w:t>
      </w:r>
    </w:p>
    <w:tbl>
      <w:tblPr>
        <w:tblStyle w:val="7"/>
        <w:tblW w:w="909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486"/>
        <w:gridCol w:w="6899"/>
      </w:tblGrid>
      <w:tr w14:paraId="1E8D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noWrap w:val="0"/>
            <w:vAlign w:val="center"/>
          </w:tcPr>
          <w:p w14:paraId="0AFBFA02">
            <w:pPr>
              <w:pStyle w:val="9"/>
              <w:jc w:val="center"/>
              <w:rPr>
                <w:rFonts w:hint="default" w:ascii="宋体" w:hAnsi="宋体"/>
                <w:b/>
                <w:bCs/>
              </w:rPr>
            </w:pPr>
            <w:r>
              <w:rPr>
                <w:rFonts w:ascii="宋体" w:hAnsi="宋体"/>
                <w:b/>
                <w:bCs/>
              </w:rPr>
              <w:t>评审因素</w:t>
            </w:r>
          </w:p>
        </w:tc>
        <w:tc>
          <w:tcPr>
            <w:tcW w:w="8385" w:type="dxa"/>
            <w:gridSpan w:val="2"/>
            <w:noWrap w:val="0"/>
            <w:vAlign w:val="center"/>
          </w:tcPr>
          <w:p w14:paraId="4092177E">
            <w:pPr>
              <w:pStyle w:val="9"/>
              <w:jc w:val="center"/>
              <w:rPr>
                <w:rFonts w:hint="default" w:ascii="宋体" w:hAnsi="宋体"/>
                <w:b/>
                <w:bCs/>
              </w:rPr>
            </w:pPr>
            <w:r>
              <w:rPr>
                <w:rFonts w:ascii="宋体" w:hAnsi="宋体"/>
                <w:b/>
                <w:bCs/>
              </w:rPr>
              <w:t>评审标准</w:t>
            </w:r>
          </w:p>
        </w:tc>
      </w:tr>
      <w:tr w14:paraId="368F5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noWrap w:val="0"/>
            <w:vAlign w:val="center"/>
          </w:tcPr>
          <w:p w14:paraId="6310FFA4">
            <w:pPr>
              <w:pStyle w:val="9"/>
              <w:jc w:val="center"/>
              <w:rPr>
                <w:rFonts w:hint="default" w:ascii="宋体" w:hAnsi="宋体"/>
              </w:rPr>
            </w:pPr>
            <w:r>
              <w:rPr>
                <w:rFonts w:ascii="宋体" w:hAnsi="宋体"/>
              </w:rPr>
              <w:t>分值构成</w:t>
            </w:r>
          </w:p>
        </w:tc>
        <w:tc>
          <w:tcPr>
            <w:tcW w:w="8385" w:type="dxa"/>
            <w:gridSpan w:val="2"/>
            <w:noWrap w:val="0"/>
            <w:vAlign w:val="center"/>
          </w:tcPr>
          <w:p w14:paraId="164CDFA8">
            <w:pPr>
              <w:pStyle w:val="9"/>
              <w:rPr>
                <w:rFonts w:hint="default" w:ascii="宋体" w:hAnsi="宋体"/>
                <w:highlight w:val="none"/>
              </w:rPr>
            </w:pPr>
            <w:r>
              <w:rPr>
                <w:rFonts w:ascii="宋体" w:hAnsi="宋体"/>
              </w:rPr>
              <w:t>技术部</w:t>
            </w:r>
            <w:r>
              <w:rPr>
                <w:rFonts w:ascii="宋体" w:hAnsi="宋体"/>
                <w:highlight w:val="none"/>
              </w:rPr>
              <w:t>分</w:t>
            </w:r>
            <w:r>
              <w:rPr>
                <w:rFonts w:hint="eastAsia" w:ascii="宋体" w:hAnsi="宋体"/>
                <w:highlight w:val="none"/>
                <w:lang w:val="en-US" w:eastAsia="zh-CN"/>
              </w:rPr>
              <w:t>5</w:t>
            </w:r>
            <w:r>
              <w:rPr>
                <w:rFonts w:hint="default" w:ascii="宋体" w:hAnsi="宋体"/>
                <w:highlight w:val="none"/>
              </w:rPr>
              <w:t>0</w:t>
            </w:r>
            <w:r>
              <w:rPr>
                <w:rFonts w:ascii="宋体" w:hAnsi="宋体"/>
                <w:highlight w:val="none"/>
              </w:rPr>
              <w:t>分</w:t>
            </w:r>
          </w:p>
          <w:p w14:paraId="5338E3D7">
            <w:pPr>
              <w:pStyle w:val="9"/>
              <w:rPr>
                <w:rFonts w:hint="default" w:ascii="宋体" w:hAnsi="宋体"/>
                <w:highlight w:val="none"/>
              </w:rPr>
            </w:pPr>
            <w:r>
              <w:rPr>
                <w:rFonts w:ascii="宋体" w:hAnsi="宋体"/>
                <w:highlight w:val="none"/>
              </w:rPr>
              <w:t>商务部分</w:t>
            </w:r>
            <w:r>
              <w:rPr>
                <w:rFonts w:hint="eastAsia" w:ascii="宋体" w:hAnsi="宋体"/>
                <w:highlight w:val="none"/>
                <w:lang w:val="en-US" w:eastAsia="zh-CN"/>
              </w:rPr>
              <w:t>2</w:t>
            </w:r>
            <w:r>
              <w:rPr>
                <w:rFonts w:hint="default" w:ascii="宋体" w:hAnsi="宋体"/>
                <w:highlight w:val="none"/>
              </w:rPr>
              <w:t>0</w:t>
            </w:r>
            <w:r>
              <w:rPr>
                <w:rFonts w:ascii="宋体" w:hAnsi="宋体"/>
                <w:highlight w:val="none"/>
              </w:rPr>
              <w:t>分</w:t>
            </w:r>
          </w:p>
          <w:p w14:paraId="476E53F5">
            <w:pPr>
              <w:pStyle w:val="9"/>
              <w:rPr>
                <w:rFonts w:hint="default" w:ascii="宋体" w:hAnsi="宋体"/>
              </w:rPr>
            </w:pPr>
            <w:r>
              <w:rPr>
                <w:rFonts w:ascii="宋体" w:hAnsi="宋体"/>
              </w:rPr>
              <w:t>报价得分30分</w:t>
            </w:r>
          </w:p>
        </w:tc>
      </w:tr>
      <w:tr w14:paraId="73476F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restart"/>
            <w:noWrap w:val="0"/>
            <w:vAlign w:val="center"/>
          </w:tcPr>
          <w:p w14:paraId="0B4B3519">
            <w:pPr>
              <w:pStyle w:val="9"/>
              <w:jc w:val="center"/>
              <w:rPr>
                <w:rFonts w:hint="default" w:ascii="宋体" w:hAnsi="宋体"/>
              </w:rPr>
            </w:pPr>
            <w:r>
              <w:rPr>
                <w:rFonts w:ascii="宋体" w:hAnsi="宋体"/>
              </w:rPr>
              <w:t>技术部分</w:t>
            </w:r>
          </w:p>
        </w:tc>
        <w:tc>
          <w:tcPr>
            <w:tcW w:w="1486" w:type="dxa"/>
            <w:noWrap w:val="0"/>
            <w:vAlign w:val="center"/>
          </w:tcPr>
          <w:p w14:paraId="1F0ADDCE">
            <w:pPr>
              <w:widowControl/>
              <w:wordWrap w:val="0"/>
              <w:jc w:val="center"/>
              <w:textAlignment w:val="top"/>
              <w:rPr>
                <w:rFonts w:ascii="宋体" w:hAnsi="宋体"/>
                <w:sz w:val="20"/>
                <w:szCs w:val="20"/>
              </w:rPr>
            </w:pPr>
            <w:r>
              <w:rPr>
                <w:rFonts w:hint="eastAsia" w:ascii="宋体" w:hAnsi="宋体"/>
                <w:spacing w:val="2"/>
                <w:sz w:val="20"/>
                <w:szCs w:val="20"/>
              </w:rPr>
              <w:t>产品技术参数</w:t>
            </w:r>
            <w:r>
              <w:rPr>
                <w:rFonts w:hint="eastAsia" w:ascii="宋体" w:hAnsi="宋体"/>
                <w:spacing w:val="2"/>
                <w:sz w:val="20"/>
                <w:szCs w:val="20"/>
              </w:rPr>
              <w:br w:type="textWrapping"/>
            </w:r>
            <w:r>
              <w:rPr>
                <w:rFonts w:hint="eastAsia" w:ascii="宋体" w:hAnsi="宋体"/>
                <w:spacing w:val="2"/>
                <w:sz w:val="20"/>
                <w:szCs w:val="20"/>
                <w:highlight w:val="none"/>
              </w:rPr>
              <w:t>（</w:t>
            </w:r>
            <w:r>
              <w:rPr>
                <w:rFonts w:hint="eastAsia" w:ascii="宋体" w:hAnsi="宋体"/>
                <w:spacing w:val="2"/>
                <w:sz w:val="20"/>
                <w:szCs w:val="20"/>
                <w:highlight w:val="none"/>
                <w:lang w:val="en-US" w:eastAsia="zh-CN"/>
              </w:rPr>
              <w:t>25</w:t>
            </w:r>
            <w:r>
              <w:rPr>
                <w:rFonts w:hint="eastAsia" w:ascii="宋体" w:hAnsi="宋体"/>
                <w:spacing w:val="2"/>
                <w:sz w:val="20"/>
                <w:szCs w:val="20"/>
                <w:highlight w:val="none"/>
              </w:rPr>
              <w:t>分）</w:t>
            </w:r>
          </w:p>
        </w:tc>
        <w:tc>
          <w:tcPr>
            <w:tcW w:w="6899" w:type="dxa"/>
            <w:noWrap w:val="0"/>
            <w:vAlign w:val="center"/>
          </w:tcPr>
          <w:p w14:paraId="51789BD1">
            <w:pPr>
              <w:rPr>
                <w:rFonts w:ascii="宋体" w:hAnsi="宋体"/>
                <w:sz w:val="20"/>
                <w:szCs w:val="20"/>
              </w:rPr>
            </w:pPr>
            <w:r>
              <w:rPr>
                <w:rFonts w:hint="eastAsia" w:ascii="宋体" w:hAnsi="宋体"/>
                <w:sz w:val="20"/>
                <w:szCs w:val="20"/>
                <w:lang w:val="en-US" w:eastAsia="zh-CN"/>
              </w:rPr>
              <w:t>1、</w:t>
            </w:r>
            <w:r>
              <w:rPr>
                <w:rFonts w:hint="eastAsia" w:ascii="宋体" w:hAnsi="宋体"/>
                <w:sz w:val="20"/>
                <w:szCs w:val="20"/>
              </w:rPr>
              <w:t>标注★的参数为实质性要求，不可负偏离，负偏离将视为未实质性满足招标文件要求作投标无效处理。</w:t>
            </w:r>
          </w:p>
          <w:p w14:paraId="0AF585EB">
            <w:pPr>
              <w:spacing w:line="360" w:lineRule="auto"/>
              <w:rPr>
                <w:rFonts w:ascii="宋体" w:hAnsi="宋体"/>
                <w:sz w:val="20"/>
                <w:szCs w:val="20"/>
                <w:highlight w:val="none"/>
              </w:rPr>
            </w:pPr>
            <w:r>
              <w:rPr>
                <w:rFonts w:hint="eastAsia" w:ascii="宋体" w:hAnsi="宋体"/>
                <w:sz w:val="20"/>
                <w:szCs w:val="20"/>
                <w:lang w:val="en-US" w:eastAsia="zh-CN"/>
              </w:rPr>
              <w:t>2</w:t>
            </w:r>
            <w:r>
              <w:rPr>
                <w:rFonts w:hint="eastAsia" w:ascii="宋体" w:hAnsi="宋体"/>
                <w:sz w:val="20"/>
                <w:szCs w:val="20"/>
              </w:rPr>
              <w:t>、对招标文件采购需求中主要技术参数的响应程度及性能符合性进行综合评价，完全满足的得</w:t>
            </w:r>
            <w:r>
              <w:rPr>
                <w:rFonts w:hint="eastAsia" w:ascii="宋体" w:hAnsi="宋体"/>
                <w:sz w:val="20"/>
                <w:szCs w:val="20"/>
                <w:highlight w:val="none"/>
                <w:lang w:val="en-US" w:eastAsia="zh-CN"/>
              </w:rPr>
              <w:t>25</w:t>
            </w:r>
            <w:r>
              <w:rPr>
                <w:rFonts w:hint="eastAsia" w:ascii="宋体" w:hAnsi="宋体"/>
                <w:sz w:val="20"/>
                <w:szCs w:val="20"/>
              </w:rPr>
              <w:t>分；“▲”号重要参数每</w:t>
            </w:r>
            <w:r>
              <w:rPr>
                <w:rFonts w:hint="eastAsia" w:ascii="宋体" w:hAnsi="宋体"/>
                <w:sz w:val="20"/>
                <w:szCs w:val="20"/>
                <w:highlight w:val="none"/>
              </w:rPr>
              <w:t>1项负偏离的，扣</w:t>
            </w:r>
            <w:r>
              <w:rPr>
                <w:rFonts w:hint="eastAsia" w:ascii="宋体" w:hAnsi="宋体"/>
                <w:sz w:val="20"/>
                <w:szCs w:val="20"/>
                <w:highlight w:val="none"/>
                <w:lang w:val="en-US" w:eastAsia="zh-CN"/>
              </w:rPr>
              <w:t>1</w:t>
            </w:r>
            <w:r>
              <w:rPr>
                <w:rFonts w:hint="eastAsia" w:ascii="宋体" w:hAnsi="宋体"/>
                <w:sz w:val="20"/>
                <w:szCs w:val="20"/>
                <w:highlight w:val="none"/>
              </w:rPr>
              <w:t>分，扣完为止。每项非“▲”号的一般参数负偏离扣</w:t>
            </w:r>
            <w:r>
              <w:rPr>
                <w:rFonts w:hint="eastAsia" w:ascii="宋体" w:hAnsi="宋体"/>
                <w:sz w:val="20"/>
                <w:szCs w:val="20"/>
                <w:highlight w:val="none"/>
                <w:lang w:val="en-US" w:eastAsia="zh-CN"/>
              </w:rPr>
              <w:t>0.5</w:t>
            </w:r>
            <w:r>
              <w:rPr>
                <w:rFonts w:hint="eastAsia" w:ascii="宋体" w:hAnsi="宋体"/>
                <w:sz w:val="20"/>
                <w:szCs w:val="20"/>
                <w:highlight w:val="none"/>
              </w:rPr>
              <w:t>分，扣完为止。</w:t>
            </w:r>
          </w:p>
          <w:p w14:paraId="21AFEB73">
            <w:pPr>
              <w:rPr>
                <w:rFonts w:ascii="宋体" w:hAnsi="宋体"/>
                <w:spacing w:val="2"/>
                <w:sz w:val="20"/>
                <w:szCs w:val="20"/>
              </w:rPr>
            </w:pPr>
            <w:r>
              <w:rPr>
                <w:rFonts w:hint="eastAsia" w:ascii="宋体" w:hAnsi="宋体"/>
                <w:sz w:val="20"/>
                <w:szCs w:val="20"/>
                <w:lang w:val="en-US" w:eastAsia="zh-CN"/>
              </w:rPr>
              <w:t>3、</w:t>
            </w:r>
            <w:r>
              <w:rPr>
                <w:rFonts w:hint="eastAsia" w:ascii="宋体" w:hAnsi="宋体"/>
                <w:sz w:val="20"/>
                <w:szCs w:val="20"/>
              </w:rPr>
              <w:t>投标文件中须按照要求提供对应产品参数的证明资料。</w:t>
            </w:r>
          </w:p>
        </w:tc>
      </w:tr>
      <w:tr w14:paraId="4C94F0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continue"/>
            <w:noWrap w:val="0"/>
            <w:vAlign w:val="center"/>
          </w:tcPr>
          <w:p w14:paraId="1A84333E">
            <w:pPr>
              <w:rPr>
                <w:rFonts w:ascii="宋体" w:hAnsi="宋体"/>
                <w:sz w:val="20"/>
                <w:szCs w:val="20"/>
              </w:rPr>
            </w:pPr>
          </w:p>
        </w:tc>
        <w:tc>
          <w:tcPr>
            <w:tcW w:w="1486" w:type="dxa"/>
            <w:noWrap w:val="0"/>
            <w:vAlign w:val="center"/>
          </w:tcPr>
          <w:p w14:paraId="22FA3899">
            <w:pPr>
              <w:jc w:val="center"/>
              <w:rPr>
                <w:rFonts w:ascii="宋体" w:hAnsi="宋体"/>
                <w:spacing w:val="2"/>
                <w:sz w:val="20"/>
              </w:rPr>
            </w:pPr>
            <w:r>
              <w:rPr>
                <w:rFonts w:hint="eastAsia"/>
                <w:color w:val="000000"/>
                <w:szCs w:val="21"/>
              </w:rPr>
              <w:t>所投货物配 置、选型的合 理性、成熟可 靠性</w:t>
            </w:r>
            <w:r>
              <w:rPr>
                <w:rFonts w:hint="eastAsia" w:ascii="宋体" w:hAnsi="宋体"/>
                <w:sz w:val="20"/>
                <w:szCs w:val="20"/>
                <w:highlight w:val="none"/>
              </w:rPr>
              <w:t>（1</w:t>
            </w:r>
            <w:r>
              <w:rPr>
                <w:rFonts w:hint="eastAsia" w:ascii="宋体" w:hAnsi="宋体"/>
                <w:sz w:val="20"/>
                <w:szCs w:val="20"/>
                <w:highlight w:val="none"/>
                <w:lang w:val="en-US" w:eastAsia="zh-CN"/>
              </w:rPr>
              <w:t>5</w:t>
            </w:r>
            <w:r>
              <w:rPr>
                <w:rFonts w:hint="eastAsia" w:ascii="宋体" w:hAnsi="宋体"/>
                <w:sz w:val="20"/>
                <w:szCs w:val="20"/>
                <w:highlight w:val="none"/>
              </w:rPr>
              <w:t>分）</w:t>
            </w:r>
          </w:p>
        </w:tc>
        <w:tc>
          <w:tcPr>
            <w:tcW w:w="6899" w:type="dxa"/>
            <w:noWrap w:val="0"/>
            <w:vAlign w:val="center"/>
          </w:tcPr>
          <w:p w14:paraId="7BA4FA7B">
            <w:pPr>
              <w:spacing w:line="360" w:lineRule="auto"/>
              <w:rPr>
                <w:color w:val="000000"/>
                <w:szCs w:val="21"/>
              </w:rPr>
            </w:pPr>
            <w:r>
              <w:rPr>
                <w:rFonts w:hint="eastAsia"/>
                <w:color w:val="000000"/>
                <w:szCs w:val="21"/>
              </w:rPr>
              <w:t xml:space="preserve">由评委对各投标人的货物配置、选型的合理性、成熟可靠性进行评议及打分： </w:t>
            </w:r>
          </w:p>
          <w:p w14:paraId="53D2584B">
            <w:pPr>
              <w:spacing w:line="360" w:lineRule="auto"/>
              <w:rPr>
                <w:color w:val="000000"/>
                <w:szCs w:val="21"/>
              </w:rPr>
            </w:pPr>
            <w:r>
              <w:rPr>
                <w:rFonts w:ascii="Times New Roman PS MT" w:hAnsi="Times New Roman PS MT"/>
                <w:color w:val="000000"/>
                <w:szCs w:val="21"/>
              </w:rPr>
              <w:t>1</w:t>
            </w:r>
            <w:r>
              <w:rPr>
                <w:rFonts w:hint="eastAsia"/>
                <w:color w:val="000000"/>
                <w:szCs w:val="21"/>
              </w:rPr>
              <w:t>、所投货物配置、选型合理性高、性能稳定性高、可靠性强的得</w:t>
            </w:r>
            <w:r>
              <w:rPr>
                <w:rFonts w:hint="eastAsia"/>
                <w:color w:val="000000"/>
                <w:szCs w:val="21"/>
                <w:highlight w:val="none"/>
              </w:rPr>
              <w:t xml:space="preserve"> </w:t>
            </w:r>
            <w:r>
              <w:rPr>
                <w:color w:val="000000"/>
                <w:szCs w:val="21"/>
                <w:highlight w:val="none"/>
              </w:rPr>
              <w:t>1</w:t>
            </w:r>
            <w:r>
              <w:rPr>
                <w:rFonts w:hint="eastAsia"/>
                <w:color w:val="000000"/>
                <w:szCs w:val="21"/>
                <w:highlight w:val="none"/>
                <w:lang w:val="en-US" w:eastAsia="zh-CN"/>
              </w:rPr>
              <w:t>5</w:t>
            </w:r>
            <w:r>
              <w:rPr>
                <w:rFonts w:hint="eastAsia"/>
                <w:color w:val="000000"/>
                <w:szCs w:val="21"/>
              </w:rPr>
              <w:t xml:space="preserve">分； </w:t>
            </w:r>
          </w:p>
          <w:p w14:paraId="218CDDA3">
            <w:pPr>
              <w:spacing w:line="360" w:lineRule="auto"/>
              <w:rPr>
                <w:color w:val="000000"/>
                <w:szCs w:val="21"/>
              </w:rPr>
            </w:pPr>
            <w:r>
              <w:rPr>
                <w:rFonts w:ascii="Times New Roman PS MT" w:hAnsi="Times New Roman PS MT"/>
                <w:color w:val="000000"/>
                <w:szCs w:val="21"/>
              </w:rPr>
              <w:t>2</w:t>
            </w:r>
            <w:r>
              <w:rPr>
                <w:rFonts w:hint="eastAsia"/>
                <w:color w:val="000000"/>
                <w:szCs w:val="21"/>
              </w:rPr>
              <w:t xml:space="preserve">、所投货物配置、选型较合理、具有一定的稳定性、可靠性的得 </w:t>
            </w:r>
            <w:r>
              <w:rPr>
                <w:rFonts w:hint="eastAsia" w:ascii="Times New Roman PS MT" w:hAnsi="Times New Roman PS MT"/>
                <w:color w:val="000000"/>
                <w:szCs w:val="21"/>
                <w:lang w:val="en-US" w:eastAsia="zh-CN"/>
              </w:rPr>
              <w:t>8</w:t>
            </w:r>
            <w:r>
              <w:rPr>
                <w:rFonts w:ascii="Times New Roman PS MT" w:hAnsi="Times New Roman PS MT"/>
                <w:color w:val="000000"/>
                <w:szCs w:val="21"/>
              </w:rPr>
              <w:t xml:space="preserve"> </w:t>
            </w:r>
            <w:r>
              <w:rPr>
                <w:rFonts w:hint="eastAsia"/>
                <w:color w:val="000000"/>
                <w:szCs w:val="21"/>
              </w:rPr>
              <w:t xml:space="preserve">分； </w:t>
            </w:r>
          </w:p>
          <w:p w14:paraId="41DF9D7B">
            <w:pPr>
              <w:spacing w:line="360" w:lineRule="auto"/>
              <w:rPr>
                <w:color w:val="000000"/>
                <w:szCs w:val="21"/>
              </w:rPr>
            </w:pPr>
            <w:r>
              <w:rPr>
                <w:rFonts w:ascii="Times New Roman PS MT" w:hAnsi="Times New Roman PS MT"/>
                <w:color w:val="000000"/>
                <w:szCs w:val="21"/>
              </w:rPr>
              <w:t>3</w:t>
            </w:r>
            <w:r>
              <w:rPr>
                <w:rFonts w:hint="eastAsia"/>
                <w:color w:val="000000"/>
                <w:szCs w:val="21"/>
              </w:rPr>
              <w:t xml:space="preserve">、所投货物配置、选型、性能稳定性、可靠性差的得 </w:t>
            </w:r>
            <w:r>
              <w:rPr>
                <w:rFonts w:hint="eastAsia"/>
                <w:color w:val="000000"/>
                <w:szCs w:val="21"/>
                <w:lang w:val="en-US" w:eastAsia="zh-CN"/>
              </w:rPr>
              <w:t>2</w:t>
            </w:r>
            <w:r>
              <w:rPr>
                <w:rFonts w:ascii="Times New Roman PS MT" w:hAnsi="Times New Roman PS MT"/>
                <w:color w:val="000000"/>
                <w:szCs w:val="21"/>
              </w:rPr>
              <w:t xml:space="preserve"> </w:t>
            </w:r>
            <w:r>
              <w:rPr>
                <w:rFonts w:hint="eastAsia"/>
                <w:color w:val="000000"/>
                <w:szCs w:val="21"/>
              </w:rPr>
              <w:t xml:space="preserve">分； </w:t>
            </w:r>
          </w:p>
          <w:p w14:paraId="11EAF3D2">
            <w:pPr>
              <w:jc w:val="left"/>
              <w:rPr>
                <w:rFonts w:ascii="宋体" w:hAnsi="宋体"/>
                <w:sz w:val="20"/>
                <w:szCs w:val="20"/>
              </w:rPr>
            </w:pPr>
            <w:r>
              <w:rPr>
                <w:rFonts w:ascii="Times New Roman PS MT" w:hAnsi="Times New Roman PS MT"/>
                <w:color w:val="000000"/>
                <w:szCs w:val="21"/>
              </w:rPr>
              <w:t>4</w:t>
            </w:r>
            <w:r>
              <w:rPr>
                <w:rFonts w:hint="eastAsia"/>
                <w:color w:val="000000"/>
                <w:szCs w:val="21"/>
              </w:rPr>
              <w:t>、没有相关表述的得</w:t>
            </w:r>
            <w:r>
              <w:rPr>
                <w:rFonts w:ascii="Times New Roman PS MT" w:hAnsi="Times New Roman PS MT"/>
                <w:color w:val="000000"/>
                <w:szCs w:val="21"/>
              </w:rPr>
              <w:t>0</w:t>
            </w:r>
            <w:r>
              <w:rPr>
                <w:rFonts w:hint="eastAsia"/>
                <w:color w:val="000000"/>
                <w:szCs w:val="21"/>
              </w:rPr>
              <w:t>分。</w:t>
            </w:r>
          </w:p>
        </w:tc>
      </w:tr>
      <w:tr w14:paraId="515CBE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continue"/>
            <w:noWrap w:val="0"/>
            <w:vAlign w:val="center"/>
          </w:tcPr>
          <w:p w14:paraId="48DC400F">
            <w:pPr>
              <w:rPr>
                <w:rFonts w:ascii="宋体" w:hAnsi="宋体"/>
                <w:sz w:val="20"/>
                <w:szCs w:val="20"/>
              </w:rPr>
            </w:pPr>
          </w:p>
        </w:tc>
        <w:tc>
          <w:tcPr>
            <w:tcW w:w="1486" w:type="dxa"/>
            <w:noWrap w:val="0"/>
            <w:vAlign w:val="center"/>
          </w:tcPr>
          <w:p w14:paraId="221662F0">
            <w:pPr>
              <w:jc w:val="center"/>
              <w:rPr>
                <w:rFonts w:ascii="宋体" w:hAnsi="宋体"/>
                <w:sz w:val="20"/>
                <w:szCs w:val="20"/>
                <w:highlight w:val="none"/>
              </w:rPr>
            </w:pPr>
            <w:r>
              <w:rPr>
                <w:rFonts w:hint="eastAsia" w:ascii="宋体" w:hAnsi="宋体"/>
                <w:sz w:val="20"/>
                <w:szCs w:val="20"/>
                <w:highlight w:val="none"/>
              </w:rPr>
              <w:t>培训方案</w:t>
            </w:r>
          </w:p>
          <w:p w14:paraId="00ADC538">
            <w:pPr>
              <w:jc w:val="center"/>
              <w:rPr>
                <w:rFonts w:hint="eastAsia"/>
                <w:color w:val="000000"/>
                <w:szCs w:val="21"/>
                <w:highlight w:val="none"/>
              </w:rPr>
            </w:pPr>
            <w:r>
              <w:rPr>
                <w:rFonts w:hint="eastAsia" w:ascii="宋体" w:hAnsi="宋体"/>
                <w:sz w:val="20"/>
                <w:szCs w:val="20"/>
                <w:highlight w:val="none"/>
              </w:rPr>
              <w:t>（</w:t>
            </w:r>
            <w:r>
              <w:rPr>
                <w:rFonts w:hint="eastAsia" w:ascii="宋体" w:hAnsi="宋体"/>
                <w:sz w:val="20"/>
                <w:szCs w:val="20"/>
                <w:highlight w:val="none"/>
                <w:lang w:val="en-US" w:eastAsia="zh-CN"/>
              </w:rPr>
              <w:t>10</w:t>
            </w:r>
            <w:r>
              <w:rPr>
                <w:rFonts w:hint="eastAsia" w:ascii="宋体" w:hAnsi="宋体"/>
                <w:sz w:val="20"/>
                <w:szCs w:val="20"/>
                <w:highlight w:val="none"/>
              </w:rPr>
              <w:t>分）</w:t>
            </w:r>
          </w:p>
        </w:tc>
        <w:tc>
          <w:tcPr>
            <w:tcW w:w="6899" w:type="dxa"/>
            <w:noWrap w:val="0"/>
            <w:vAlign w:val="center"/>
          </w:tcPr>
          <w:p w14:paraId="4D4F564A">
            <w:pP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1、</w:t>
            </w:r>
            <w:r>
              <w:rPr>
                <w:rFonts w:hint="eastAsia" w:ascii="宋体" w:hAnsi="宋体"/>
                <w:sz w:val="20"/>
                <w:szCs w:val="20"/>
                <w:highlight w:val="none"/>
              </w:rPr>
              <w:t>根据投标人提供服务方案进行评审，内容包括：使用人员的培训课程安排、课程及培训内容安排</w:t>
            </w:r>
            <w:r>
              <w:rPr>
                <w:rFonts w:hint="eastAsia" w:ascii="宋体" w:hAnsi="宋体"/>
                <w:sz w:val="20"/>
                <w:szCs w:val="20"/>
                <w:highlight w:val="none"/>
                <w:lang w:eastAsia="zh-CN"/>
              </w:rPr>
              <w:t>。</w:t>
            </w:r>
          </w:p>
          <w:p w14:paraId="42F2EC64">
            <w:pPr>
              <w:rPr>
                <w:rFonts w:hint="eastAsia" w:ascii="宋体" w:hAnsi="宋体"/>
                <w:sz w:val="20"/>
                <w:szCs w:val="20"/>
                <w:highlight w:val="none"/>
              </w:rPr>
            </w:pPr>
            <w:r>
              <w:rPr>
                <w:rFonts w:hint="eastAsia" w:ascii="宋体" w:hAnsi="宋体"/>
                <w:sz w:val="20"/>
                <w:szCs w:val="20"/>
                <w:highlight w:val="none"/>
                <w:lang w:val="en-US" w:eastAsia="zh-CN"/>
              </w:rPr>
              <w:t>2、</w:t>
            </w:r>
            <w:r>
              <w:rPr>
                <w:rFonts w:hint="eastAsia" w:ascii="宋体" w:hAnsi="宋体"/>
                <w:sz w:val="20"/>
                <w:szCs w:val="20"/>
                <w:highlight w:val="none"/>
              </w:rPr>
              <w:t>评标委员会根据投标人提供的服务方案的详细内容进行综合评审：</w:t>
            </w:r>
          </w:p>
          <w:p w14:paraId="241A2CB1">
            <w:pPr>
              <w:rPr>
                <w:rFonts w:hint="eastAsia" w:ascii="宋体" w:hAnsi="宋体"/>
                <w:sz w:val="20"/>
                <w:szCs w:val="20"/>
                <w:highlight w:val="none"/>
              </w:rPr>
            </w:pPr>
            <w:r>
              <w:rPr>
                <w:rFonts w:hint="eastAsia" w:ascii="宋体" w:hAnsi="宋体"/>
                <w:sz w:val="20"/>
                <w:szCs w:val="20"/>
                <w:highlight w:val="none"/>
              </w:rPr>
              <w:t>（1）在满足采购需求的基础上，有专人指导和简单上手的设备操作培训课程安排，有明确的课程及培训内容安排，对设备的操作过程中注意事项有详细指引，对特殊情况（如设备反复重启，操作失灵，错误操作等情况）有图文详解及完整应对培训方案，得</w:t>
            </w:r>
            <w:r>
              <w:rPr>
                <w:rFonts w:hint="eastAsia" w:ascii="宋体" w:hAnsi="宋体"/>
                <w:sz w:val="20"/>
                <w:szCs w:val="20"/>
                <w:highlight w:val="none"/>
                <w:lang w:val="en-US" w:eastAsia="zh-CN"/>
              </w:rPr>
              <w:t>10</w:t>
            </w:r>
            <w:r>
              <w:rPr>
                <w:rFonts w:hint="eastAsia" w:ascii="宋体" w:hAnsi="宋体"/>
                <w:sz w:val="20"/>
                <w:szCs w:val="20"/>
                <w:highlight w:val="none"/>
              </w:rPr>
              <w:t>分；</w:t>
            </w:r>
          </w:p>
          <w:p w14:paraId="6F35B292">
            <w:pPr>
              <w:rPr>
                <w:rFonts w:hint="eastAsia" w:ascii="宋体" w:hAnsi="宋体"/>
                <w:sz w:val="20"/>
                <w:szCs w:val="20"/>
                <w:highlight w:val="none"/>
              </w:rPr>
            </w:pPr>
            <w:r>
              <w:rPr>
                <w:rFonts w:hint="eastAsia" w:ascii="宋体" w:hAnsi="宋体"/>
                <w:sz w:val="20"/>
                <w:szCs w:val="20"/>
                <w:highlight w:val="none"/>
              </w:rPr>
              <w:t>（2）在满足采购需求的基础上，有专人指导和简单上手的设备操作培训课程安排，有课程及培训内容安排，对设备的操作过程中注意事项有简单指引，对特殊情况（如设备反复重启，操作失灵，错误操作等情况）有基本图文解释及应对培训方案，得</w:t>
            </w:r>
            <w:r>
              <w:rPr>
                <w:rFonts w:hint="eastAsia" w:ascii="宋体" w:hAnsi="宋体"/>
                <w:sz w:val="20"/>
                <w:szCs w:val="20"/>
                <w:highlight w:val="none"/>
                <w:lang w:val="en-US" w:eastAsia="zh-CN"/>
              </w:rPr>
              <w:t>5</w:t>
            </w:r>
            <w:r>
              <w:rPr>
                <w:rFonts w:hint="eastAsia" w:ascii="宋体" w:hAnsi="宋体"/>
                <w:sz w:val="20"/>
                <w:szCs w:val="20"/>
                <w:highlight w:val="none"/>
              </w:rPr>
              <w:t>分；</w:t>
            </w:r>
          </w:p>
          <w:p w14:paraId="2F6A0476">
            <w:pPr>
              <w:rPr>
                <w:rFonts w:hint="eastAsia" w:ascii="宋体" w:hAnsi="宋体"/>
                <w:sz w:val="20"/>
                <w:szCs w:val="20"/>
                <w:highlight w:val="none"/>
              </w:rPr>
            </w:pPr>
            <w:r>
              <w:rPr>
                <w:rFonts w:hint="eastAsia" w:ascii="宋体" w:hAnsi="宋体"/>
                <w:sz w:val="20"/>
                <w:szCs w:val="20"/>
                <w:highlight w:val="none"/>
              </w:rPr>
              <w:t>（3）在满足采购需求的基础上，投标人提供指导和培训课程安排简单含糊，课程及培训内容安排不明确，对操作培训含糊其辞，得</w:t>
            </w:r>
            <w:r>
              <w:rPr>
                <w:rFonts w:hint="eastAsia" w:ascii="宋体" w:hAnsi="宋体"/>
                <w:sz w:val="20"/>
                <w:szCs w:val="20"/>
                <w:highlight w:val="none"/>
                <w:lang w:val="en-US" w:eastAsia="zh-CN"/>
              </w:rPr>
              <w:t>3</w:t>
            </w:r>
            <w:r>
              <w:rPr>
                <w:rFonts w:hint="eastAsia" w:ascii="宋体" w:hAnsi="宋体"/>
                <w:sz w:val="20"/>
                <w:szCs w:val="20"/>
                <w:highlight w:val="none"/>
              </w:rPr>
              <w:t>分；</w:t>
            </w:r>
          </w:p>
          <w:p w14:paraId="71FF3568">
            <w:pPr>
              <w:jc w:val="left"/>
              <w:rPr>
                <w:rFonts w:ascii="Times New Roman PS MT" w:hAnsi="Times New Roman PS MT"/>
                <w:color w:val="000000"/>
                <w:szCs w:val="21"/>
                <w:highlight w:val="none"/>
              </w:rPr>
            </w:pPr>
            <w:r>
              <w:rPr>
                <w:rFonts w:hint="eastAsia" w:ascii="宋体" w:hAnsi="宋体"/>
                <w:sz w:val="20"/>
                <w:szCs w:val="20"/>
                <w:highlight w:val="none"/>
              </w:rPr>
              <w:t>（4）无提供的得0分。</w:t>
            </w:r>
          </w:p>
        </w:tc>
      </w:tr>
      <w:tr w14:paraId="19E7F4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restart"/>
            <w:noWrap w:val="0"/>
            <w:vAlign w:val="center"/>
          </w:tcPr>
          <w:p w14:paraId="43C54847">
            <w:pPr>
              <w:pStyle w:val="9"/>
              <w:jc w:val="center"/>
              <w:rPr>
                <w:rFonts w:hint="default" w:ascii="宋体" w:hAnsi="宋体"/>
              </w:rPr>
            </w:pPr>
            <w:r>
              <w:rPr>
                <w:rFonts w:ascii="宋体" w:hAnsi="宋体"/>
              </w:rPr>
              <w:t>商务部分</w:t>
            </w:r>
          </w:p>
        </w:tc>
        <w:tc>
          <w:tcPr>
            <w:tcW w:w="1486" w:type="dxa"/>
            <w:noWrap w:val="0"/>
            <w:vAlign w:val="center"/>
          </w:tcPr>
          <w:p w14:paraId="4E86F448">
            <w:pPr>
              <w:spacing w:line="211" w:lineRule="auto"/>
              <w:ind w:right="-31"/>
              <w:jc w:val="center"/>
              <w:rPr>
                <w:rFonts w:hint="eastAsia" w:ascii="宋体" w:hAnsi="宋体"/>
                <w:sz w:val="20"/>
                <w:szCs w:val="20"/>
                <w:highlight w:val="none"/>
                <w:lang w:val="en-US" w:eastAsia="zh-CN"/>
              </w:rPr>
            </w:pPr>
            <w:r>
              <w:rPr>
                <w:rFonts w:hint="eastAsia" w:ascii="宋体" w:hAnsi="宋体"/>
                <w:sz w:val="20"/>
                <w:szCs w:val="20"/>
                <w:highlight w:val="none"/>
                <w:lang w:val="en-US" w:eastAsia="zh-CN"/>
              </w:rPr>
              <w:t>同类业绩合同（2分）</w:t>
            </w:r>
          </w:p>
        </w:tc>
        <w:tc>
          <w:tcPr>
            <w:tcW w:w="6899" w:type="dxa"/>
            <w:noWrap w:val="0"/>
            <w:vAlign w:val="center"/>
          </w:tcPr>
          <w:p w14:paraId="58438746">
            <w:pPr>
              <w:rPr>
                <w:rFonts w:hint="default" w:ascii="宋体" w:hAnsi="宋体" w:eastAsia="宋体"/>
                <w:kern w:val="0"/>
                <w:sz w:val="20"/>
                <w:szCs w:val="20"/>
                <w:highlight w:val="none"/>
                <w:lang w:val="en-US" w:eastAsia="zh-CN"/>
              </w:rPr>
            </w:pPr>
            <w:r>
              <w:rPr>
                <w:rFonts w:hint="eastAsia" w:ascii="宋体" w:hAnsi="宋体" w:eastAsia="宋体" w:cs="宋体"/>
                <w:sz w:val="20"/>
                <w:szCs w:val="20"/>
                <w:highlight w:val="none"/>
              </w:rPr>
              <w:t>自20</w:t>
            </w:r>
            <w:r>
              <w:rPr>
                <w:rFonts w:hint="eastAsia" w:ascii="宋体" w:hAnsi="宋体" w:eastAsia="宋体" w:cs="宋体"/>
                <w:sz w:val="20"/>
                <w:szCs w:val="20"/>
                <w:highlight w:val="none"/>
                <w:lang w:val="en-US" w:eastAsia="zh-CN"/>
              </w:rPr>
              <w:t>22</w:t>
            </w:r>
            <w:r>
              <w:rPr>
                <w:rFonts w:hint="eastAsia" w:ascii="宋体" w:hAnsi="宋体" w:eastAsia="宋体" w:cs="宋体"/>
                <w:sz w:val="20"/>
                <w:szCs w:val="20"/>
                <w:highlight w:val="none"/>
              </w:rPr>
              <w:t>年1月1日至今</w:t>
            </w:r>
            <w:r>
              <w:rPr>
                <w:rFonts w:hint="eastAsia" w:ascii="宋体" w:hAnsi="宋体" w:eastAsia="宋体" w:cs="宋体"/>
                <w:sz w:val="20"/>
                <w:szCs w:val="20"/>
                <w:highlight w:val="none"/>
                <w:lang w:val="en-US" w:eastAsia="zh-CN"/>
              </w:rPr>
              <w:t>承接有同类项目业绩的每项得</w:t>
            </w:r>
            <w:r>
              <w:rPr>
                <w:rFonts w:hint="eastAsia" w:ascii="宋体" w:hAnsi="宋体" w:cs="宋体"/>
                <w:sz w:val="20"/>
                <w:szCs w:val="20"/>
                <w:highlight w:val="none"/>
                <w:lang w:val="en-US" w:eastAsia="zh-CN"/>
              </w:rPr>
              <w:t>1</w:t>
            </w:r>
            <w:r>
              <w:rPr>
                <w:rFonts w:hint="eastAsia" w:ascii="宋体" w:hAnsi="宋体" w:eastAsia="宋体" w:cs="宋体"/>
                <w:sz w:val="20"/>
                <w:szCs w:val="20"/>
                <w:highlight w:val="none"/>
                <w:lang w:val="en-US" w:eastAsia="zh-CN"/>
              </w:rPr>
              <w:t>分，此项最高得</w:t>
            </w:r>
            <w:r>
              <w:rPr>
                <w:rFonts w:hint="eastAsia" w:ascii="宋体" w:hAnsi="宋体" w:cs="宋体"/>
                <w:sz w:val="20"/>
                <w:szCs w:val="20"/>
                <w:highlight w:val="none"/>
                <w:lang w:val="en-US" w:eastAsia="zh-CN"/>
              </w:rPr>
              <w:t>2</w:t>
            </w:r>
            <w:r>
              <w:rPr>
                <w:rFonts w:hint="eastAsia" w:ascii="宋体" w:hAnsi="宋体" w:eastAsia="宋体" w:cs="宋体"/>
                <w:sz w:val="20"/>
                <w:szCs w:val="20"/>
                <w:highlight w:val="none"/>
                <w:lang w:val="en-US" w:eastAsia="zh-CN"/>
              </w:rPr>
              <w:t>分（</w:t>
            </w:r>
            <w:r>
              <w:rPr>
                <w:rFonts w:hint="eastAsia" w:ascii="宋体" w:hAnsi="宋体" w:cs="宋体"/>
                <w:sz w:val="20"/>
                <w:szCs w:val="20"/>
                <w:highlight w:val="none"/>
                <w:lang w:val="en-US" w:eastAsia="zh-CN"/>
              </w:rPr>
              <w:t>提供合同关键页或中标通知书，</w:t>
            </w:r>
            <w:r>
              <w:rPr>
                <w:rFonts w:hint="eastAsia" w:ascii="宋体" w:hAnsi="宋体" w:eastAsia="宋体" w:cs="宋体"/>
                <w:sz w:val="20"/>
                <w:szCs w:val="20"/>
                <w:highlight w:val="none"/>
                <w:lang w:val="en-US" w:eastAsia="zh-CN"/>
              </w:rPr>
              <w:t>不提供则不得分）</w:t>
            </w:r>
          </w:p>
        </w:tc>
      </w:tr>
      <w:tr w14:paraId="3EBC2F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continue"/>
            <w:noWrap w:val="0"/>
            <w:vAlign w:val="center"/>
          </w:tcPr>
          <w:p w14:paraId="1B17DA15">
            <w:pPr>
              <w:pStyle w:val="9"/>
              <w:jc w:val="center"/>
              <w:rPr>
                <w:rFonts w:ascii="宋体" w:hAnsi="宋体"/>
              </w:rPr>
            </w:pPr>
          </w:p>
        </w:tc>
        <w:tc>
          <w:tcPr>
            <w:tcW w:w="1486" w:type="dxa"/>
            <w:noWrap w:val="0"/>
            <w:vAlign w:val="center"/>
          </w:tcPr>
          <w:p w14:paraId="475A17ED">
            <w:pPr>
              <w:pStyle w:val="3"/>
              <w:jc w:val="center"/>
              <w:rPr>
                <w:rFonts w:hint="eastAsia" w:hAnsi="宋体"/>
                <w:spacing w:val="2"/>
                <w:sz w:val="20"/>
                <w:highlight w:val="none"/>
              </w:rPr>
            </w:pPr>
            <w:r>
              <w:rPr>
                <w:rFonts w:hint="eastAsia" w:hAnsi="宋体"/>
                <w:spacing w:val="2"/>
                <w:sz w:val="20"/>
                <w:highlight w:val="none"/>
              </w:rPr>
              <w:t>救人案例</w:t>
            </w:r>
          </w:p>
          <w:p w14:paraId="16644539">
            <w:pPr>
              <w:spacing w:line="211" w:lineRule="auto"/>
              <w:ind w:right="-31"/>
              <w:jc w:val="center"/>
              <w:rPr>
                <w:rFonts w:hint="eastAsia" w:ascii="宋体" w:hAnsi="宋体"/>
                <w:sz w:val="20"/>
                <w:szCs w:val="20"/>
                <w:highlight w:val="none"/>
                <w:lang w:val="en-US" w:eastAsia="zh-CN"/>
              </w:rPr>
            </w:pPr>
            <w:r>
              <w:rPr>
                <w:rFonts w:hint="eastAsia" w:hAnsi="宋体"/>
                <w:spacing w:val="2"/>
                <w:sz w:val="20"/>
                <w:highlight w:val="none"/>
              </w:rPr>
              <w:t>（</w:t>
            </w:r>
            <w:r>
              <w:rPr>
                <w:rFonts w:hint="eastAsia" w:hAnsi="宋体"/>
                <w:spacing w:val="2"/>
                <w:sz w:val="20"/>
                <w:highlight w:val="none"/>
                <w:lang w:val="en-US" w:eastAsia="zh-CN"/>
              </w:rPr>
              <w:t>3</w:t>
            </w:r>
            <w:r>
              <w:rPr>
                <w:rFonts w:hint="eastAsia" w:hAnsi="宋体"/>
                <w:spacing w:val="2"/>
                <w:sz w:val="20"/>
                <w:highlight w:val="none"/>
              </w:rPr>
              <w:t>分）</w:t>
            </w:r>
          </w:p>
        </w:tc>
        <w:tc>
          <w:tcPr>
            <w:tcW w:w="6899" w:type="dxa"/>
            <w:noWrap w:val="0"/>
            <w:vAlign w:val="center"/>
          </w:tcPr>
          <w:p w14:paraId="1C1DF81F">
            <w:pPr>
              <w:rPr>
                <w:rFonts w:hint="eastAsia" w:ascii="宋体" w:hAnsi="宋体"/>
                <w:sz w:val="20"/>
                <w:szCs w:val="20"/>
                <w:highlight w:val="none"/>
                <w:lang w:val="en-US" w:eastAsia="zh-CN"/>
              </w:rPr>
            </w:pPr>
            <w:r>
              <w:rPr>
                <w:rFonts w:hint="eastAsia" w:ascii="宋体" w:hAnsi="宋体"/>
                <w:sz w:val="20"/>
                <w:szCs w:val="20"/>
                <w:highlight w:val="none"/>
                <w:lang w:val="en-US" w:eastAsia="zh-CN"/>
              </w:rPr>
              <w:t>供应商所投同品牌产品在国内成功施救案例进行评分：</w:t>
            </w:r>
          </w:p>
          <w:p w14:paraId="2EF56F05">
            <w:pPr>
              <w:rPr>
                <w:rFonts w:hint="eastAsia" w:ascii="宋体" w:hAnsi="宋体"/>
                <w:sz w:val="20"/>
                <w:szCs w:val="20"/>
                <w:highlight w:val="none"/>
                <w:lang w:val="en-US" w:eastAsia="zh-CN"/>
              </w:rPr>
            </w:pPr>
            <w:r>
              <w:rPr>
                <w:rFonts w:hint="eastAsia" w:ascii="宋体" w:hAnsi="宋体"/>
                <w:sz w:val="20"/>
                <w:szCs w:val="20"/>
                <w:highlight w:val="none"/>
                <w:lang w:val="en-US" w:eastAsia="zh-CN"/>
              </w:rPr>
              <w:t>（1）优：救人案例≥200例，得3分；</w:t>
            </w:r>
          </w:p>
          <w:p w14:paraId="461281FF">
            <w:pPr>
              <w:rPr>
                <w:rFonts w:hint="eastAsia" w:ascii="宋体" w:hAnsi="宋体"/>
                <w:sz w:val="20"/>
                <w:szCs w:val="20"/>
                <w:highlight w:val="none"/>
                <w:lang w:val="en-US" w:eastAsia="zh-CN"/>
              </w:rPr>
            </w:pPr>
            <w:r>
              <w:rPr>
                <w:rFonts w:hint="eastAsia" w:ascii="宋体" w:hAnsi="宋体"/>
                <w:sz w:val="20"/>
                <w:szCs w:val="20"/>
                <w:highlight w:val="none"/>
                <w:lang w:val="en-US" w:eastAsia="zh-CN"/>
              </w:rPr>
              <w:t xml:space="preserve">（2）良：101例≤国内成功施救案例＜200例，得2分； </w:t>
            </w:r>
          </w:p>
          <w:p w14:paraId="67C7F6AE">
            <w:pPr>
              <w:rPr>
                <w:rFonts w:hint="eastAsia" w:ascii="宋体" w:hAnsi="宋体"/>
                <w:sz w:val="20"/>
                <w:szCs w:val="20"/>
                <w:highlight w:val="none"/>
                <w:lang w:val="en-US" w:eastAsia="zh-CN"/>
              </w:rPr>
            </w:pPr>
            <w:r>
              <w:rPr>
                <w:rFonts w:hint="eastAsia" w:ascii="宋体" w:hAnsi="宋体"/>
                <w:sz w:val="20"/>
                <w:szCs w:val="20"/>
                <w:highlight w:val="none"/>
                <w:lang w:val="en-US" w:eastAsia="zh-CN"/>
              </w:rPr>
              <w:t>（3）差：1例≤国内成功施救案例＜100例，得1分</w:t>
            </w:r>
          </w:p>
          <w:p w14:paraId="545F69F7">
            <w:pPr>
              <w:rPr>
                <w:rFonts w:hint="eastAsia" w:ascii="宋体" w:hAnsi="宋体"/>
                <w:sz w:val="20"/>
                <w:szCs w:val="20"/>
                <w:highlight w:val="none"/>
                <w:lang w:val="en-US" w:eastAsia="zh-CN"/>
              </w:rPr>
            </w:pPr>
            <w:r>
              <w:rPr>
                <w:rFonts w:hint="eastAsia" w:ascii="宋体" w:hAnsi="宋体"/>
                <w:sz w:val="20"/>
                <w:szCs w:val="20"/>
                <w:highlight w:val="none"/>
                <w:lang w:val="en-US" w:eastAsia="zh-CN"/>
              </w:rPr>
              <w:t>（4）未提供救人案例的供应商此项得0分。</w:t>
            </w:r>
          </w:p>
          <w:p w14:paraId="10262E2A">
            <w:pPr>
              <w:rPr>
                <w:rFonts w:hint="eastAsia" w:ascii="宋体" w:hAnsi="宋体" w:eastAsia="宋体" w:cs="宋体"/>
                <w:sz w:val="20"/>
                <w:szCs w:val="20"/>
                <w:highlight w:val="none"/>
              </w:rPr>
            </w:pPr>
            <w:r>
              <w:rPr>
                <w:rFonts w:hint="eastAsia" w:ascii="宋体" w:hAnsi="宋体"/>
                <w:sz w:val="20"/>
                <w:szCs w:val="20"/>
                <w:highlight w:val="none"/>
                <w:lang w:val="en-US" w:eastAsia="zh-CN"/>
              </w:rPr>
              <w:t>证明文件：提供相关媒体报道截图或链接等证明材料，否则不得分，同时加盖制造商公章。</w:t>
            </w:r>
          </w:p>
        </w:tc>
      </w:tr>
      <w:tr w14:paraId="0AB0A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continue"/>
            <w:noWrap w:val="0"/>
            <w:vAlign w:val="center"/>
          </w:tcPr>
          <w:p w14:paraId="77F8E0F3">
            <w:pPr>
              <w:rPr>
                <w:rFonts w:ascii="宋体" w:hAnsi="宋体"/>
                <w:sz w:val="20"/>
                <w:szCs w:val="20"/>
              </w:rPr>
            </w:pPr>
          </w:p>
        </w:tc>
        <w:tc>
          <w:tcPr>
            <w:tcW w:w="1486" w:type="dxa"/>
            <w:noWrap w:val="0"/>
            <w:vAlign w:val="center"/>
          </w:tcPr>
          <w:p w14:paraId="67DA325C">
            <w:pPr>
              <w:spacing w:line="211" w:lineRule="auto"/>
              <w:ind w:right="-31"/>
              <w:jc w:val="center"/>
              <w:rPr>
                <w:rFonts w:ascii="宋体" w:hAnsi="宋体"/>
                <w:sz w:val="20"/>
                <w:szCs w:val="20"/>
              </w:rPr>
            </w:pPr>
            <w:r>
              <w:rPr>
                <w:rFonts w:hint="eastAsia" w:ascii="宋体" w:hAnsi="宋体"/>
                <w:sz w:val="20"/>
                <w:szCs w:val="20"/>
              </w:rPr>
              <w:t>实施方案</w:t>
            </w:r>
            <w:r>
              <w:rPr>
                <w:rFonts w:hint="eastAsia" w:ascii="宋体" w:hAnsi="宋体"/>
                <w:sz w:val="20"/>
                <w:szCs w:val="20"/>
              </w:rPr>
              <w:br w:type="textWrapping"/>
            </w:r>
            <w:r>
              <w:rPr>
                <w:rFonts w:hint="eastAsia" w:ascii="宋体" w:hAnsi="宋体"/>
                <w:sz w:val="20"/>
                <w:szCs w:val="20"/>
                <w:highlight w:val="none"/>
              </w:rPr>
              <w:t>（</w:t>
            </w:r>
            <w:r>
              <w:rPr>
                <w:rFonts w:hint="eastAsia" w:ascii="宋体" w:hAnsi="宋体"/>
                <w:sz w:val="20"/>
                <w:szCs w:val="20"/>
                <w:highlight w:val="none"/>
                <w:lang w:val="en-US" w:eastAsia="zh-CN"/>
              </w:rPr>
              <w:t>8</w:t>
            </w:r>
            <w:r>
              <w:rPr>
                <w:rFonts w:hint="eastAsia" w:ascii="宋体" w:hAnsi="宋体"/>
                <w:sz w:val="20"/>
                <w:szCs w:val="20"/>
                <w:highlight w:val="none"/>
              </w:rPr>
              <w:t>分）</w:t>
            </w:r>
          </w:p>
        </w:tc>
        <w:tc>
          <w:tcPr>
            <w:tcW w:w="6899" w:type="dxa"/>
            <w:noWrap w:val="0"/>
            <w:vAlign w:val="center"/>
          </w:tcPr>
          <w:p w14:paraId="26F9F481">
            <w:pPr>
              <w:rPr>
                <w:rFonts w:hint="eastAsia" w:ascii="宋体" w:hAnsi="宋体" w:eastAsia="宋体"/>
                <w:sz w:val="20"/>
                <w:szCs w:val="20"/>
                <w:lang w:eastAsia="zh-CN"/>
              </w:rPr>
            </w:pPr>
            <w:r>
              <w:rPr>
                <w:rFonts w:hint="eastAsia" w:ascii="宋体" w:hAnsi="宋体"/>
                <w:sz w:val="20"/>
                <w:szCs w:val="20"/>
                <w:lang w:val="en-US" w:eastAsia="zh-CN"/>
              </w:rPr>
              <w:t>1、</w:t>
            </w:r>
            <w:r>
              <w:rPr>
                <w:rFonts w:hint="eastAsia" w:ascii="宋体" w:hAnsi="宋体"/>
                <w:sz w:val="20"/>
                <w:szCs w:val="20"/>
              </w:rPr>
              <w:t>根据投标人提供服务方案进行评审，内容包括：①供货来源②整体实施方案③安装方案④运输方案⑤质量保证措施</w:t>
            </w:r>
            <w:r>
              <w:rPr>
                <w:rFonts w:hint="eastAsia" w:ascii="宋体" w:hAnsi="宋体"/>
                <w:sz w:val="20"/>
                <w:szCs w:val="20"/>
                <w:lang w:eastAsia="zh-CN"/>
              </w:rPr>
              <w:t>。</w:t>
            </w:r>
          </w:p>
          <w:p w14:paraId="7D1CEA98">
            <w:pPr>
              <w:rPr>
                <w:rFonts w:hint="eastAsia" w:ascii="宋体" w:hAnsi="宋体"/>
                <w:sz w:val="20"/>
                <w:szCs w:val="20"/>
              </w:rPr>
            </w:pPr>
            <w:r>
              <w:rPr>
                <w:rFonts w:hint="eastAsia" w:ascii="宋体" w:hAnsi="宋体"/>
                <w:sz w:val="20"/>
                <w:szCs w:val="20"/>
                <w:lang w:val="en-US" w:eastAsia="zh-CN"/>
              </w:rPr>
              <w:t>2、</w:t>
            </w:r>
            <w:r>
              <w:rPr>
                <w:rFonts w:hint="eastAsia" w:ascii="宋体" w:hAnsi="宋体"/>
                <w:sz w:val="20"/>
                <w:szCs w:val="20"/>
              </w:rPr>
              <w:t>评委根据投标人提供的服务方案的详细内容进行综合评审：</w:t>
            </w:r>
          </w:p>
          <w:p w14:paraId="712E2562">
            <w:pPr>
              <w:rPr>
                <w:rFonts w:hint="eastAsia" w:ascii="宋体" w:hAnsi="宋体"/>
                <w:sz w:val="20"/>
                <w:szCs w:val="20"/>
              </w:rPr>
            </w:pPr>
            <w:r>
              <w:rPr>
                <w:rFonts w:hint="eastAsia" w:ascii="宋体" w:hAnsi="宋体"/>
                <w:sz w:val="20"/>
                <w:szCs w:val="20"/>
              </w:rPr>
              <w:t>（1）服务方案对需求响应全面具体，针对服务进行全面剖析，提出方案完善、有针对性，方案合理可行，能有效保障本项目实施，有利于实现服务效果，得</w:t>
            </w:r>
            <w:r>
              <w:rPr>
                <w:rFonts w:hint="eastAsia" w:ascii="宋体" w:hAnsi="宋体"/>
                <w:sz w:val="20"/>
                <w:szCs w:val="20"/>
                <w:highlight w:val="none"/>
                <w:lang w:val="en-US" w:eastAsia="zh-CN"/>
              </w:rPr>
              <w:t>8</w:t>
            </w:r>
            <w:r>
              <w:rPr>
                <w:rFonts w:hint="eastAsia" w:ascii="宋体" w:hAnsi="宋体"/>
                <w:sz w:val="20"/>
                <w:szCs w:val="20"/>
              </w:rPr>
              <w:t>分；</w:t>
            </w:r>
          </w:p>
          <w:p w14:paraId="1B003737">
            <w:pPr>
              <w:rPr>
                <w:rFonts w:hint="eastAsia" w:ascii="宋体" w:hAnsi="宋体"/>
                <w:sz w:val="20"/>
                <w:szCs w:val="20"/>
              </w:rPr>
            </w:pPr>
            <w:r>
              <w:rPr>
                <w:rFonts w:hint="eastAsia" w:ascii="宋体" w:hAnsi="宋体"/>
                <w:sz w:val="20"/>
                <w:szCs w:val="20"/>
              </w:rPr>
              <w:t>（2）方案对需求响应具体，对服务提出包含重点要素的方案、有一定的针对性，方案可行，能基本保障本项目服务实施，基本满足服务效果，得</w:t>
            </w:r>
            <w:r>
              <w:rPr>
                <w:rFonts w:hint="eastAsia" w:ascii="宋体" w:hAnsi="宋体"/>
                <w:sz w:val="20"/>
                <w:szCs w:val="20"/>
                <w:highlight w:val="none"/>
                <w:lang w:val="en-US" w:eastAsia="zh-CN"/>
              </w:rPr>
              <w:t>4</w:t>
            </w:r>
            <w:r>
              <w:rPr>
                <w:rFonts w:hint="eastAsia" w:ascii="宋体" w:hAnsi="宋体"/>
                <w:sz w:val="20"/>
                <w:szCs w:val="20"/>
              </w:rPr>
              <w:t>分；</w:t>
            </w:r>
          </w:p>
          <w:p w14:paraId="7FC06F98">
            <w:pPr>
              <w:rPr>
                <w:rFonts w:ascii="宋体" w:hAnsi="宋体"/>
                <w:kern w:val="0"/>
                <w:sz w:val="20"/>
                <w:szCs w:val="20"/>
              </w:rPr>
            </w:pPr>
            <w:r>
              <w:rPr>
                <w:rFonts w:hint="eastAsia" w:ascii="宋体" w:hAnsi="宋体"/>
                <w:sz w:val="20"/>
                <w:szCs w:val="20"/>
              </w:rPr>
              <w:t>（3）服务方案对需求响应不全面不具体，对服务提出的方案不完整、无针对性，方案难以执行，无法保障本项目服务实施，无法实现服务效果，得</w:t>
            </w:r>
            <w:r>
              <w:rPr>
                <w:rFonts w:hint="eastAsia" w:ascii="宋体" w:hAnsi="宋体"/>
                <w:sz w:val="20"/>
                <w:szCs w:val="20"/>
                <w:highlight w:val="none"/>
                <w:lang w:val="en-US" w:eastAsia="zh-CN"/>
              </w:rPr>
              <w:t>2</w:t>
            </w:r>
            <w:r>
              <w:rPr>
                <w:rFonts w:hint="eastAsia" w:ascii="宋体" w:hAnsi="宋体"/>
                <w:sz w:val="20"/>
                <w:szCs w:val="20"/>
              </w:rPr>
              <w:t>分；（4）无提供的得0分。</w:t>
            </w:r>
          </w:p>
        </w:tc>
      </w:tr>
      <w:tr w14:paraId="1B835A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vMerge w:val="continue"/>
            <w:noWrap w:val="0"/>
            <w:vAlign w:val="center"/>
          </w:tcPr>
          <w:p w14:paraId="241139BB">
            <w:pPr>
              <w:rPr>
                <w:rFonts w:ascii="宋体" w:hAnsi="宋体"/>
                <w:sz w:val="20"/>
                <w:szCs w:val="20"/>
              </w:rPr>
            </w:pPr>
          </w:p>
        </w:tc>
        <w:tc>
          <w:tcPr>
            <w:tcW w:w="1486" w:type="dxa"/>
            <w:noWrap w:val="0"/>
            <w:vAlign w:val="center"/>
          </w:tcPr>
          <w:p w14:paraId="1D8248B8">
            <w:pPr>
              <w:jc w:val="center"/>
              <w:rPr>
                <w:rFonts w:ascii="宋体" w:hAnsi="宋体"/>
                <w:sz w:val="20"/>
                <w:szCs w:val="20"/>
              </w:rPr>
            </w:pPr>
            <w:r>
              <w:rPr>
                <w:rFonts w:hint="eastAsia" w:ascii="宋体" w:hAnsi="宋体"/>
                <w:sz w:val="20"/>
                <w:szCs w:val="20"/>
              </w:rPr>
              <w:t>售后服务方案</w:t>
            </w:r>
          </w:p>
          <w:p w14:paraId="3243A196">
            <w:pPr>
              <w:jc w:val="center"/>
              <w:rPr>
                <w:rFonts w:ascii="宋体" w:hAnsi="宋体"/>
                <w:sz w:val="20"/>
                <w:szCs w:val="20"/>
              </w:rPr>
            </w:pPr>
            <w:r>
              <w:rPr>
                <w:rFonts w:hint="eastAsia" w:ascii="宋体" w:hAnsi="宋体"/>
                <w:sz w:val="20"/>
                <w:szCs w:val="20"/>
                <w:highlight w:val="none"/>
              </w:rPr>
              <w:t>（</w:t>
            </w:r>
            <w:r>
              <w:rPr>
                <w:rFonts w:hint="eastAsia" w:ascii="宋体" w:hAnsi="宋体"/>
                <w:sz w:val="20"/>
                <w:szCs w:val="20"/>
                <w:highlight w:val="none"/>
                <w:lang w:val="en-US" w:eastAsia="zh-CN"/>
              </w:rPr>
              <w:t>7</w:t>
            </w:r>
            <w:r>
              <w:rPr>
                <w:rFonts w:hint="eastAsia" w:ascii="宋体" w:hAnsi="宋体"/>
                <w:sz w:val="20"/>
                <w:szCs w:val="20"/>
                <w:highlight w:val="none"/>
              </w:rPr>
              <w:t>分）</w:t>
            </w:r>
          </w:p>
        </w:tc>
        <w:tc>
          <w:tcPr>
            <w:tcW w:w="6899" w:type="dxa"/>
            <w:noWrap w:val="0"/>
            <w:vAlign w:val="center"/>
          </w:tcPr>
          <w:p w14:paraId="2DEC4807">
            <w:pPr>
              <w:rPr>
                <w:rFonts w:ascii="宋体" w:hAnsi="宋体"/>
                <w:sz w:val="20"/>
                <w:szCs w:val="20"/>
              </w:rPr>
            </w:pPr>
            <w:r>
              <w:rPr>
                <w:rFonts w:hint="eastAsia" w:ascii="宋体" w:hAnsi="宋体"/>
                <w:sz w:val="20"/>
                <w:szCs w:val="20"/>
                <w:lang w:val="en-US" w:eastAsia="zh-CN"/>
              </w:rPr>
              <w:t>1、</w:t>
            </w:r>
            <w:r>
              <w:rPr>
                <w:rFonts w:hint="eastAsia" w:ascii="宋体" w:hAnsi="宋体"/>
                <w:sz w:val="20"/>
                <w:szCs w:val="20"/>
              </w:rPr>
              <w:t>根据针对本项目所提供的售后服务方案，方案内容包括但不限于售后服务人员（专人跟进、服务沟通等）的安排、售后服务计划安排、响应时间的及时性等内容进行评审。</w:t>
            </w:r>
          </w:p>
          <w:p w14:paraId="44DB1963">
            <w:pPr>
              <w:rPr>
                <w:rFonts w:hint="eastAsia" w:ascii="宋体" w:hAnsi="宋体"/>
                <w:sz w:val="20"/>
                <w:szCs w:val="20"/>
              </w:rPr>
            </w:pPr>
            <w:r>
              <w:rPr>
                <w:rFonts w:hint="eastAsia" w:ascii="宋体" w:hAnsi="宋体"/>
                <w:sz w:val="20"/>
                <w:szCs w:val="20"/>
                <w:lang w:val="en-US" w:eastAsia="zh-CN"/>
              </w:rPr>
              <w:t>2、</w:t>
            </w:r>
            <w:r>
              <w:rPr>
                <w:rFonts w:hint="eastAsia" w:ascii="宋体" w:hAnsi="宋体"/>
                <w:sz w:val="20"/>
                <w:szCs w:val="20"/>
              </w:rPr>
              <w:t>评委根据投标人提供的服务方案的详细内容进行综合评审：</w:t>
            </w:r>
          </w:p>
          <w:p w14:paraId="22371914">
            <w:pPr>
              <w:rPr>
                <w:rFonts w:hint="eastAsia" w:ascii="宋体" w:hAnsi="宋体"/>
                <w:sz w:val="20"/>
                <w:szCs w:val="20"/>
              </w:rPr>
            </w:pPr>
            <w:r>
              <w:rPr>
                <w:rFonts w:hint="eastAsia" w:ascii="宋体" w:hAnsi="宋体"/>
                <w:sz w:val="20"/>
                <w:szCs w:val="20"/>
              </w:rPr>
              <w:t>（1）投标人所提供的质保期内和质保期后售后服务方案内容详细，有完整合理的部署规划；明确配备项目专属售后服务专员及资深专业技术团队：安排专人负责响应采购人的维修要求及服务过程中的沟通，有专业的售后服务人员；对日常维修和应急情况响应及时，完全满足或优于采购要求</w:t>
            </w:r>
            <w:r>
              <w:rPr>
                <w:rFonts w:hint="eastAsia" w:ascii="宋体" w:hAnsi="宋体"/>
                <w:sz w:val="20"/>
                <w:szCs w:val="20"/>
                <w:highlight w:val="none"/>
              </w:rPr>
              <w:t>，</w:t>
            </w:r>
            <w:r>
              <w:rPr>
                <w:rFonts w:hint="eastAsia" w:ascii="宋体" w:hAnsi="宋体"/>
                <w:sz w:val="20"/>
                <w:szCs w:val="20"/>
                <w:highlight w:val="none"/>
                <w:lang w:eastAsia="zh-CN"/>
              </w:rPr>
              <w:t>提供原厂盖章有售后服务承诺函，</w:t>
            </w:r>
            <w:r>
              <w:rPr>
                <w:rFonts w:hint="eastAsia" w:ascii="宋体" w:hAnsi="宋体"/>
                <w:sz w:val="20"/>
                <w:szCs w:val="20"/>
              </w:rPr>
              <w:t>得</w:t>
            </w:r>
            <w:r>
              <w:rPr>
                <w:rFonts w:hint="eastAsia" w:ascii="宋体" w:hAnsi="宋体"/>
                <w:sz w:val="20"/>
                <w:szCs w:val="20"/>
                <w:highlight w:val="none"/>
                <w:lang w:val="en-US" w:eastAsia="zh-CN"/>
              </w:rPr>
              <w:t>7</w:t>
            </w:r>
            <w:r>
              <w:rPr>
                <w:rFonts w:hint="eastAsia" w:ascii="宋体" w:hAnsi="宋体"/>
                <w:sz w:val="20"/>
                <w:szCs w:val="20"/>
              </w:rPr>
              <w:t>分；</w:t>
            </w:r>
          </w:p>
          <w:p w14:paraId="7D02239C">
            <w:pPr>
              <w:rPr>
                <w:rFonts w:hint="eastAsia" w:ascii="宋体" w:hAnsi="宋体"/>
                <w:sz w:val="20"/>
                <w:szCs w:val="20"/>
              </w:rPr>
            </w:pPr>
            <w:r>
              <w:rPr>
                <w:rFonts w:hint="eastAsia" w:ascii="宋体" w:hAnsi="宋体"/>
                <w:sz w:val="20"/>
                <w:szCs w:val="20"/>
              </w:rPr>
              <w:t>（2）投标人所提供的质保期内售后服务方案内容完整，有基本的部署规划，有安排专人负责响应采购人的维修要求及服务过程中的沟通，有专业的售后服务人员，对需维修的设备有基础保底操作的维修处理方法，对日常维修和应急情况响应不够及时，得</w:t>
            </w:r>
            <w:r>
              <w:rPr>
                <w:rFonts w:hint="eastAsia" w:ascii="宋体" w:hAnsi="宋体"/>
                <w:sz w:val="20"/>
                <w:szCs w:val="20"/>
                <w:highlight w:val="none"/>
                <w:lang w:val="en-US" w:eastAsia="zh-CN"/>
              </w:rPr>
              <w:t>4</w:t>
            </w:r>
            <w:r>
              <w:rPr>
                <w:rFonts w:hint="eastAsia" w:ascii="宋体" w:hAnsi="宋体"/>
                <w:sz w:val="20"/>
                <w:szCs w:val="20"/>
              </w:rPr>
              <w:t>分；</w:t>
            </w:r>
          </w:p>
          <w:p w14:paraId="59350E43">
            <w:pPr>
              <w:rPr>
                <w:rFonts w:hint="eastAsia" w:ascii="宋体" w:hAnsi="宋体"/>
                <w:sz w:val="20"/>
                <w:szCs w:val="20"/>
              </w:rPr>
            </w:pPr>
            <w:r>
              <w:rPr>
                <w:rFonts w:hint="eastAsia" w:ascii="宋体" w:hAnsi="宋体"/>
                <w:sz w:val="20"/>
                <w:szCs w:val="20"/>
              </w:rPr>
              <w:t>（3）投标人只提供了简单的售后服务方案，部署规划简单，未安排专人负责响应采购人的维修要求及服务过程中的沟通，有专业的售后服务人员但维修处理方法简单，对日常维修和应急情况响应不够及时，得</w:t>
            </w:r>
            <w:r>
              <w:rPr>
                <w:rFonts w:hint="eastAsia" w:ascii="宋体" w:hAnsi="宋体"/>
                <w:sz w:val="20"/>
                <w:szCs w:val="20"/>
                <w:highlight w:val="none"/>
                <w:lang w:val="en-US" w:eastAsia="zh-CN"/>
              </w:rPr>
              <w:t>2</w:t>
            </w:r>
            <w:r>
              <w:rPr>
                <w:rFonts w:hint="eastAsia" w:ascii="宋体" w:hAnsi="宋体"/>
                <w:sz w:val="20"/>
                <w:szCs w:val="20"/>
              </w:rPr>
              <w:t>分；</w:t>
            </w:r>
          </w:p>
          <w:p w14:paraId="335E8A4C">
            <w:pPr>
              <w:rPr>
                <w:rFonts w:ascii="宋体" w:hAnsi="宋体"/>
                <w:kern w:val="0"/>
                <w:sz w:val="20"/>
                <w:szCs w:val="20"/>
              </w:rPr>
            </w:pPr>
            <w:r>
              <w:rPr>
                <w:rFonts w:hint="eastAsia" w:ascii="宋体" w:hAnsi="宋体"/>
                <w:sz w:val="20"/>
                <w:szCs w:val="20"/>
              </w:rPr>
              <w:t>（4）无提供的得0分。</w:t>
            </w:r>
          </w:p>
        </w:tc>
      </w:tr>
      <w:tr w14:paraId="0A61D1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09" w:type="dxa"/>
            <w:noWrap w:val="0"/>
            <w:vAlign w:val="center"/>
          </w:tcPr>
          <w:p w14:paraId="7F7553C7">
            <w:pPr>
              <w:pStyle w:val="9"/>
              <w:jc w:val="center"/>
              <w:rPr>
                <w:rFonts w:hint="default" w:ascii="宋体" w:hAnsi="宋体"/>
              </w:rPr>
            </w:pPr>
            <w:r>
              <w:rPr>
                <w:rFonts w:ascii="宋体" w:hAnsi="宋体"/>
              </w:rPr>
              <w:t>投标报价</w:t>
            </w:r>
          </w:p>
        </w:tc>
        <w:tc>
          <w:tcPr>
            <w:tcW w:w="1486" w:type="dxa"/>
            <w:noWrap w:val="0"/>
            <w:vAlign w:val="center"/>
          </w:tcPr>
          <w:p w14:paraId="30FB869F">
            <w:pPr>
              <w:pStyle w:val="9"/>
              <w:jc w:val="center"/>
              <w:rPr>
                <w:rFonts w:hint="default" w:ascii="宋体" w:hAnsi="宋体"/>
              </w:rPr>
            </w:pPr>
            <w:r>
              <w:rPr>
                <w:rFonts w:ascii="宋体" w:hAnsi="宋体"/>
              </w:rPr>
              <w:t>投标报价得分 (30分)</w:t>
            </w:r>
          </w:p>
        </w:tc>
        <w:tc>
          <w:tcPr>
            <w:tcW w:w="6899" w:type="dxa"/>
            <w:noWrap w:val="0"/>
            <w:vAlign w:val="center"/>
          </w:tcPr>
          <w:p w14:paraId="72D4B36B">
            <w:pPr>
              <w:pStyle w:val="9"/>
              <w:rPr>
                <w:rFonts w:hint="default" w:ascii="宋体" w:hAnsi="宋体"/>
              </w:rPr>
            </w:pPr>
            <w:r>
              <w:rPr>
                <w:rFonts w:ascii="宋体" w:hAnsi="宋体"/>
              </w:rPr>
              <w:t>投标报价得分＝（评标基准价/投标报价）×价格分值</w:t>
            </w:r>
            <w:r>
              <w:rPr>
                <w:rFonts w:ascii="宋体" w:hAnsi="宋体"/>
                <w:highlight w:val="none"/>
              </w:rPr>
              <w:t>【注：取有效投标报价的算术平均值为基准价。】</w:t>
            </w:r>
            <w:r>
              <w:rPr>
                <w:rFonts w:ascii="宋体" w:hAnsi="宋体"/>
              </w:rPr>
              <w:t>最低报价不是中标的唯一依据。因落实政府采购政策进行价格调整的，以调整后的价格计算评标基准价和投标报价。</w:t>
            </w:r>
          </w:p>
        </w:tc>
      </w:tr>
    </w:tbl>
    <w:p w14:paraId="5D0F5569"/>
    <w:p w14:paraId="6D8EED92"/>
    <w:p w14:paraId="20806D2D"/>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auto"/>
    <w:pitch w:val="default"/>
    <w:sig w:usb0="00000001" w:usb1="08000000" w:usb2="00000000" w:usb3="00000000" w:csb0="00040000" w:csb1="00000000"/>
  </w:font>
  <w:font w:name="Times New Roman PS MT">
    <w:altName w:val="Times New Roman"/>
    <w:panose1 w:val="00000000000000000000"/>
    <w:charset w:val="00"/>
    <w:family w:val="roman"/>
    <w:pitch w:val="default"/>
    <w:sig w:usb0="00000000" w:usb1="00000000" w:usb2="00000000" w:usb3="00000000" w:csb0="00040001" w:csb1="00000000"/>
  </w:font>
  <w:font w:name="DejaVu Sans">
    <w:altName w:val="Segoe Print"/>
    <w:panose1 w:val="020B0603030804020204"/>
    <w:charset w:val="00"/>
    <w:family w:val="auto"/>
    <w:pitch w:val="default"/>
    <w:sig w:usb0="00000000" w:usb1="00000000" w:usb2="0A246029" w:usb3="0400200C" w:csb0="600001FF" w:csb1="D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6022F">
    <w:pPr>
      <w:pStyle w:val="4"/>
    </w:pPr>
    <w:r>
      <w:rPr>
        <w:sz w:val="18"/>
      </w:rPr>
      <w:pict>
        <v:shape id="_x0000_s4097" o:spid="_x0000_s4097"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3D68651">
                <w:pPr>
                  <w:pStyle w:val="4"/>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7DF2486"/>
    <w:rsid w:val="0A84329E"/>
    <w:rsid w:val="0FFD7F7A"/>
    <w:rsid w:val="151F2EA4"/>
    <w:rsid w:val="1FEC8E18"/>
    <w:rsid w:val="1FEFE00E"/>
    <w:rsid w:val="2EDEA031"/>
    <w:rsid w:val="31FC09BA"/>
    <w:rsid w:val="39F5E691"/>
    <w:rsid w:val="3BFFBC20"/>
    <w:rsid w:val="3F872A72"/>
    <w:rsid w:val="45D79877"/>
    <w:rsid w:val="47DF2486"/>
    <w:rsid w:val="4BEF99ED"/>
    <w:rsid w:val="4FD4CC84"/>
    <w:rsid w:val="51F86B32"/>
    <w:rsid w:val="53C1FB44"/>
    <w:rsid w:val="56EFD0D8"/>
    <w:rsid w:val="57CD62BB"/>
    <w:rsid w:val="5B020458"/>
    <w:rsid w:val="5BFF575D"/>
    <w:rsid w:val="5F3BAEEE"/>
    <w:rsid w:val="5F77DE89"/>
    <w:rsid w:val="5FDE2533"/>
    <w:rsid w:val="636617BA"/>
    <w:rsid w:val="65FAEBF6"/>
    <w:rsid w:val="676F95DA"/>
    <w:rsid w:val="6DFE68AF"/>
    <w:rsid w:val="78BD224B"/>
    <w:rsid w:val="79FDF3E1"/>
    <w:rsid w:val="7BFF0644"/>
    <w:rsid w:val="7CBFCD2B"/>
    <w:rsid w:val="7CDD515F"/>
    <w:rsid w:val="7CFE1FC6"/>
    <w:rsid w:val="7DE7B952"/>
    <w:rsid w:val="7E43C6DE"/>
    <w:rsid w:val="7ED47903"/>
    <w:rsid w:val="7F8F0274"/>
    <w:rsid w:val="7FE1B97C"/>
    <w:rsid w:val="7FFBC17D"/>
    <w:rsid w:val="7FFF4145"/>
    <w:rsid w:val="8FFE01E0"/>
    <w:rsid w:val="ADFDE864"/>
    <w:rsid w:val="B27744C9"/>
    <w:rsid w:val="BCFD9C19"/>
    <w:rsid w:val="BD6DCB6D"/>
    <w:rsid w:val="BD7F0792"/>
    <w:rsid w:val="CF76FBA0"/>
    <w:rsid w:val="CFEB2B12"/>
    <w:rsid w:val="DBEB0721"/>
    <w:rsid w:val="DFC7E85B"/>
    <w:rsid w:val="DFCF24DD"/>
    <w:rsid w:val="E4E7C93A"/>
    <w:rsid w:val="E72B71C0"/>
    <w:rsid w:val="E7FDD5C6"/>
    <w:rsid w:val="E997ACD2"/>
    <w:rsid w:val="EBD794E5"/>
    <w:rsid w:val="ECFF8B2A"/>
    <w:rsid w:val="EDDF32AF"/>
    <w:rsid w:val="F47CB8B7"/>
    <w:rsid w:val="F57FE043"/>
    <w:rsid w:val="F6EE9086"/>
    <w:rsid w:val="F88D8CBA"/>
    <w:rsid w:val="FA17F2A4"/>
    <w:rsid w:val="FB7D3D48"/>
    <w:rsid w:val="FC2CB676"/>
    <w:rsid w:val="FF2C2FE7"/>
    <w:rsid w:val="FF7C3FA6"/>
    <w:rsid w:val="FFFF88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pPr>
      <w:spacing w:after="120"/>
    </w:pPr>
  </w:style>
  <w:style w:type="paragraph" w:styleId="3">
    <w:name w:val="Plain Text"/>
    <w:basedOn w:val="1"/>
    <w:qFormat/>
    <w:uiPriority w:val="0"/>
    <w:rPr>
      <w:rFonts w:ascii="宋体" w:hAnsi="Courier New"/>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2"/>
    <w:qFormat/>
    <w:uiPriority w:val="99"/>
    <w:pPr>
      <w:ind w:firstLine="420" w:firstLineChars="100"/>
    </w:pPr>
  </w:style>
  <w:style w:type="paragraph" w:customStyle="1" w:styleId="9">
    <w:name w:val="null3"/>
    <w:qFormat/>
    <w:uiPriority w:val="0"/>
    <w:rPr>
      <w:rFonts w:hint="eastAsia" w:ascii="Calibri" w:hAnsi="Calibri"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2993</Words>
  <Characters>3260</Characters>
  <Lines>0</Lines>
  <Paragraphs>0</Paragraphs>
  <TotalTime>9</TotalTime>
  <ScaleCrop>false</ScaleCrop>
  <LinksUpToDate>false</LinksUpToDate>
  <CharactersWithSpaces>3346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2026-07-17T22:45:00Z</dcterms:created>
  <dc:creator>邓燕群</dc:creator>
  <cp:lastModifiedBy>BZJZ</cp:lastModifiedBy>
  <cp:lastPrinted>2026-07-30T17:00:00Z</cp:lastPrinted>
  <dcterms:modified xsi:type="dcterms:W3CDTF">2026-07-31T01:20:34Z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eyJoZGlkIjoiNDIyNGQ5Mjk1NDlmYTFjNDkzYjdiZDQ0OTI4OTg2YzAiLCJ1c2VySWQiOiI2MDI0NDI2MjMifQ==</vt:lpwstr>
  </property>
  <property fmtid="{D5CDD505-2E9C-101B-9397-08002B2CF9AE}" pid="4" name="ICV">
    <vt:lpwstr>369F69762AE044ED90377B56563E23B3_13</vt:lpwstr>
  </property>
</Properties>
</file>